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1D4" w14:textId="292D1820" w:rsidR="004867AD" w:rsidRDefault="00693888" w:rsidP="00122701">
      <w:pPr>
        <w:pStyle w:val="Caption"/>
        <w:rPr>
          <w:rFonts w:ascii="Arial Nova Cond" w:hAnsi="Arial Nova Cond"/>
          <w:caps/>
          <w:color w:val="2E2E2F" w:themeColor="text1"/>
          <w:spacing w:val="24"/>
          <w:kern w:val="24"/>
          <w:sz w:val="28"/>
          <w:szCs w:val="28"/>
          <w:lang w:eastAsia="es-PR"/>
        </w:rPr>
      </w:pPr>
      <w:bookmarkStart w:id="0" w:name="_Toc27127512"/>
      <w:bookmarkStart w:id="1" w:name="_Toc28288117"/>
      <w:r w:rsidRPr="00744494">
        <w:rPr>
          <w:rFonts w:ascii="Arial Nova Cond" w:hAnsi="Arial Nova Cond"/>
          <w:caps/>
          <w:color w:val="2E2E2F" w:themeColor="text1"/>
          <w:spacing w:val="24"/>
          <w:kern w:val="24"/>
          <w:sz w:val="28"/>
          <w:szCs w:val="28"/>
          <w:lang w:eastAsia="es-PR"/>
        </w:rPr>
        <w:t>PASO 3.</w:t>
      </w:r>
      <w:r w:rsidR="005A78B3" w:rsidRPr="00744494">
        <w:rPr>
          <w:b w:val="0"/>
          <w:color w:val="auto"/>
          <w:spacing w:val="0"/>
          <w:sz w:val="28"/>
          <w:szCs w:val="28"/>
        </w:rPr>
        <w:t xml:space="preserve"> </w:t>
      </w:r>
      <w:r w:rsidR="005A78B3" w:rsidRPr="00744494">
        <w:rPr>
          <w:rFonts w:ascii="Arial Nova Cond" w:hAnsi="Arial Nova Cond"/>
          <w:caps/>
          <w:color w:val="2E2E2F" w:themeColor="text1"/>
          <w:spacing w:val="24"/>
          <w:kern w:val="24"/>
          <w:sz w:val="28"/>
          <w:szCs w:val="28"/>
          <w:lang w:eastAsia="es-PR"/>
        </w:rPr>
        <w:t>IDENTIFICAMOS Y ORGANIZAMOS LOS RECURSOS DISPONIBLES EN NUESTRA COMUNIDAD</w:t>
      </w:r>
    </w:p>
    <w:p w14:paraId="4203558F" w14:textId="77777777" w:rsidR="00122701" w:rsidRPr="00122701" w:rsidRDefault="00122701" w:rsidP="00122701">
      <w:pPr>
        <w:rPr>
          <w:lang w:eastAsia="es-PR"/>
        </w:rPr>
      </w:pP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C0011A" w:rsidRPr="00C0011A" w14:paraId="0198E943" w14:textId="77777777" w:rsidTr="00A71034">
        <w:trPr>
          <w:trHeight w:val="440"/>
          <w:tblHeader/>
        </w:trPr>
        <w:tc>
          <w:tcPr>
            <w:tcW w:w="12950" w:type="dxa"/>
            <w:shd w:val="clear" w:color="auto" w:fill="424243" w:themeFill="text1" w:themeFillTint="E6"/>
            <w:vAlign w:val="center"/>
          </w:tcPr>
          <w:p w14:paraId="676AA716" w14:textId="0A28F648" w:rsidR="00C0011A" w:rsidRPr="009F5C89" w:rsidRDefault="00C0011A" w:rsidP="00A71034">
            <w:pPr>
              <w:pStyle w:val="Caption"/>
              <w:spacing w:before="120" w:after="120"/>
              <w:jc w:val="left"/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</w:pPr>
            <w:r w:rsidRPr="009F5C89"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  <w:t>Ficha 3</w:t>
            </w:r>
            <w:r w:rsidR="00712089"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  <w:t>.1</w:t>
            </w:r>
            <w:r w:rsidRPr="009F5C89"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  <w:t xml:space="preserve">. </w:t>
            </w:r>
            <w:r w:rsidR="0094198F" w:rsidRPr="0094198F"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  <w:t>Ideas para establecer y fortalecer los lazos de colaboración con los miembros de nuestra comunidad</w:t>
            </w:r>
          </w:p>
        </w:tc>
      </w:tr>
      <w:tr w:rsidR="00122701" w:rsidRPr="00C0011A" w14:paraId="5DAACF31" w14:textId="77777777" w:rsidTr="00122701">
        <w:trPr>
          <w:trHeight w:val="440"/>
          <w:tblHeader/>
        </w:trPr>
        <w:tc>
          <w:tcPr>
            <w:tcW w:w="12950" w:type="dxa"/>
            <w:shd w:val="clear" w:color="auto" w:fill="FFF1CC" w:themeFill="accent3" w:themeFillTint="33"/>
            <w:vAlign w:val="center"/>
          </w:tcPr>
          <w:p w14:paraId="2C01D73B" w14:textId="088DA54C" w:rsidR="00122701" w:rsidRPr="00122701" w:rsidRDefault="00122701" w:rsidP="00122701">
            <w:pPr>
              <w:shd w:val="clear" w:color="auto" w:fill="FFF1CC" w:themeFill="accent3" w:themeFillTint="33"/>
              <w:rPr>
                <w:rFonts w:ascii="Arial Nova" w:hAnsi="Arial Nova"/>
                <w:sz w:val="22"/>
                <w:szCs w:val="32"/>
              </w:rPr>
            </w:pPr>
            <w:r w:rsidRPr="00122701">
              <w:rPr>
                <w:rFonts w:ascii="Arial Nova" w:hAnsi="Arial Nova"/>
                <w:b/>
                <w:bCs/>
                <w:sz w:val="22"/>
                <w:szCs w:val="32"/>
                <w:lang w:val="es-PR"/>
              </w:rPr>
              <w:t>Instrucciones:</w:t>
            </w:r>
            <w:r w:rsidRPr="00122701">
              <w:rPr>
                <w:rFonts w:ascii="Arial Nova" w:hAnsi="Arial Nova"/>
                <w:sz w:val="22"/>
                <w:szCs w:val="32"/>
                <w:lang w:val="es-PR"/>
              </w:rPr>
              <w:t xml:space="preserve"> Aquí les incluimos varias ideas que surgieron de las experiencias de los representantes de los municipios y de las organizaciones sin fines de lucro, al trabajar junto con las comunidades en la respuesta al huracán María.  </w:t>
            </w:r>
            <w:r w:rsidRPr="00122701">
              <w:rPr>
                <w:rFonts w:ascii="Arial Nova" w:hAnsi="Arial Nova"/>
                <w:sz w:val="22"/>
                <w:szCs w:val="32"/>
              </w:rPr>
              <w:t>¡</w:t>
            </w:r>
            <w:proofErr w:type="spellStart"/>
            <w:r w:rsidRPr="00122701">
              <w:rPr>
                <w:rFonts w:ascii="Arial Nova" w:hAnsi="Arial Nova"/>
                <w:sz w:val="22"/>
                <w:szCs w:val="32"/>
              </w:rPr>
              <w:t>Esperamos</w:t>
            </w:r>
            <w:proofErr w:type="spellEnd"/>
            <w:r w:rsidRPr="00122701">
              <w:rPr>
                <w:rFonts w:ascii="Arial Nova" w:hAnsi="Arial Nova"/>
                <w:sz w:val="22"/>
                <w:szCs w:val="32"/>
              </w:rPr>
              <w:t xml:space="preserve"> que les </w:t>
            </w:r>
            <w:proofErr w:type="spellStart"/>
            <w:r w:rsidRPr="00122701">
              <w:rPr>
                <w:rFonts w:ascii="Arial Nova" w:hAnsi="Arial Nova"/>
                <w:sz w:val="22"/>
                <w:szCs w:val="32"/>
              </w:rPr>
              <w:t>sean</w:t>
            </w:r>
            <w:proofErr w:type="spellEnd"/>
            <w:r w:rsidRPr="00122701">
              <w:rPr>
                <w:rFonts w:ascii="Arial Nova" w:hAnsi="Arial Nova"/>
                <w:sz w:val="22"/>
                <w:szCs w:val="32"/>
              </w:rPr>
              <w:t xml:space="preserve"> de utilidad! </w:t>
            </w:r>
          </w:p>
        </w:tc>
      </w:tr>
      <w:tr w:rsidR="0094198F" w:rsidRPr="0032374F" w14:paraId="464DBA89" w14:textId="77777777" w:rsidTr="00A71034">
        <w:trPr>
          <w:trHeight w:val="323"/>
        </w:trPr>
        <w:tc>
          <w:tcPr>
            <w:tcW w:w="12950" w:type="dxa"/>
            <w:shd w:val="clear" w:color="auto" w:fill="auto"/>
            <w:vAlign w:val="center"/>
          </w:tcPr>
          <w:p w14:paraId="7A3B0C24" w14:textId="63810F75" w:rsidR="0094198F" w:rsidRPr="004867AD" w:rsidRDefault="0094198F" w:rsidP="00A71034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420"/>
              </w:tabs>
              <w:spacing w:before="240" w:after="240" w:line="276" w:lineRule="auto"/>
              <w:ind w:left="420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32374F">
              <w:rPr>
                <w:rFonts w:asciiTheme="minorHAnsi" w:hAnsiTheme="minorHAnsi"/>
                <w:sz w:val="22"/>
                <w:szCs w:val="22"/>
                <w:lang w:val="es-PR"/>
              </w:rPr>
              <w:t>Asegúrense que conocen a sus vecinos/as más cercanos/as. Hablen con ellos/as. En la medida que sea posible intercambien sus números de teléfono, conozcan si viven solos/as o si tienen alguna necesidad especial (por ejemplo, si tienen alguna condición de salud o si tienen otras personas bajo su cuidado). Háganle saber cuán importante es que otros/as sepan esta información. Tras el paso del huracán María, muchas personas que trabajaron en la fase de respuesta encontraron adultos mayores viviendo solos/as, algunos/as con muchas necesidades. Se espera que la población de adultos mayores continúe aumentando en Puerto Rico. Esta es una población muy vulnerable ante los efectos del cambio climático. Animen a otros miembros de su comunidad a conocer a sus vecinos/as inmediatos</w:t>
            </w:r>
            <w:r w:rsidRPr="004867AD">
              <w:rPr>
                <w:rFonts w:asciiTheme="minorHAnsi" w:hAnsiTheme="minorHAnsi"/>
                <w:sz w:val="22"/>
                <w:szCs w:val="22"/>
                <w:lang w:val="es-PR"/>
              </w:rPr>
              <w:t>.</w:t>
            </w:r>
            <w:r w:rsidR="004867AD">
              <w:rPr>
                <w:rFonts w:asciiTheme="minorHAnsi" w:hAnsiTheme="minorHAnsi"/>
                <w:sz w:val="22"/>
                <w:szCs w:val="22"/>
                <w:lang w:val="es-PR"/>
              </w:rPr>
              <w:t xml:space="preserve"> </w:t>
            </w:r>
            <w:r w:rsidRPr="004867AD">
              <w:rPr>
                <w:rFonts w:asciiTheme="minorHAnsi" w:hAnsiTheme="minorHAnsi"/>
                <w:sz w:val="22"/>
                <w:szCs w:val="22"/>
                <w:lang w:val="es-PR"/>
              </w:rPr>
              <w:t>¡Así se crea una red de apoyo!</w:t>
            </w:r>
          </w:p>
        </w:tc>
      </w:tr>
      <w:tr w:rsidR="0094198F" w:rsidRPr="00C0011A" w14:paraId="3C72D4B4" w14:textId="77777777" w:rsidTr="00A71034">
        <w:trPr>
          <w:trHeight w:val="323"/>
        </w:trPr>
        <w:tc>
          <w:tcPr>
            <w:tcW w:w="12950" w:type="dxa"/>
            <w:shd w:val="clear" w:color="auto" w:fill="FFF1CC" w:themeFill="accent3" w:themeFillTint="33"/>
            <w:vAlign w:val="center"/>
          </w:tcPr>
          <w:p w14:paraId="0E3FB0EB" w14:textId="4D54594D" w:rsidR="00A71034" w:rsidRPr="00A71034" w:rsidRDefault="0094198F" w:rsidP="00A71034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num" w:pos="420"/>
              </w:tabs>
              <w:spacing w:before="240" w:after="240" w:line="276" w:lineRule="auto"/>
              <w:ind w:left="420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32374F">
              <w:rPr>
                <w:rFonts w:asciiTheme="minorHAnsi" w:hAnsiTheme="minorHAnsi"/>
                <w:sz w:val="22"/>
                <w:szCs w:val="22"/>
                <w:lang w:val="es-PR"/>
              </w:rPr>
              <w:t>Organicen reuniones/juntes en su comunidad para conocerse mejor e ir creando el camino para trabajar en conjunto e identificar cómo cada uno/a puede apoyar. ¿Qué funciona en Puerto Rico? Sabemos que la comida siempre es una buena excusa para compartir. Tras el paso del huracán María se crearon cocinas comunitarias y en algunas comunidades los/las vecinos/as han decidido continuar reuniéndose ocasionalmente para compartir desayunos o alimentos. Esta es una buena idea para compartir. Pregúntese, ¿qué tipo de personas viven en mi comunidad? De los que conocemos o hemos visto, ¿la mayoría son padres solos/as con niños/as, adultos mayores, o jóvenes adultos/as con o sin niños/as? Esto le puede dar una idea para planificar una actividad comunitaria que sea atractiva para sus miembros. Recuerde pedirles a los/las participantes que lleven platos, vasos o utensilios reusables para evitar generar basura.</w:t>
            </w:r>
          </w:p>
        </w:tc>
      </w:tr>
    </w:tbl>
    <w:p w14:paraId="76F9261A" w14:textId="77777777" w:rsidR="00A71034" w:rsidRDefault="00A71034">
      <w:r>
        <w:br w:type="page"/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2950"/>
      </w:tblGrid>
      <w:tr w:rsidR="00A71034" w:rsidRPr="00C0011A" w14:paraId="63D4871C" w14:textId="77777777" w:rsidTr="009C4CB2">
        <w:trPr>
          <w:trHeight w:val="440"/>
          <w:tblHeader/>
        </w:trPr>
        <w:tc>
          <w:tcPr>
            <w:tcW w:w="12950" w:type="dxa"/>
            <w:shd w:val="clear" w:color="auto" w:fill="424243" w:themeFill="text1" w:themeFillTint="E6"/>
            <w:vAlign w:val="center"/>
          </w:tcPr>
          <w:p w14:paraId="49733567" w14:textId="504AED1A" w:rsidR="00A71034" w:rsidRPr="009F5C89" w:rsidRDefault="00A71034" w:rsidP="00A71034">
            <w:pPr>
              <w:pStyle w:val="Caption"/>
              <w:spacing w:before="120" w:after="120"/>
              <w:jc w:val="left"/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</w:pPr>
            <w:r w:rsidRPr="009F5C89"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  <w:lastRenderedPageBreak/>
              <w:t>Ficha 3</w:t>
            </w:r>
            <w:r w:rsidR="00712089"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  <w:t>.1</w:t>
            </w:r>
            <w:r w:rsidRPr="009F5C89"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  <w:t xml:space="preserve">. </w:t>
            </w:r>
            <w:r w:rsidRPr="0094198F">
              <w:rPr>
                <w:rFonts w:ascii="Arial Nova Cond" w:hAnsi="Arial Nova Cond"/>
                <w:caps/>
                <w:color w:val="FFFFFF" w:themeColor="background1"/>
                <w:sz w:val="22"/>
                <w:szCs w:val="22"/>
                <w:lang w:val="es-PR"/>
              </w:rPr>
              <w:t>Ideas para establecer y fortalecer los lazos de colaboración con los miembros de nuestra comunidad</w:t>
            </w:r>
          </w:p>
        </w:tc>
      </w:tr>
      <w:tr w:rsidR="0094198F" w:rsidRPr="00C0011A" w14:paraId="4B1BAD01" w14:textId="77777777" w:rsidTr="00A71034">
        <w:trPr>
          <w:trHeight w:val="323"/>
        </w:trPr>
        <w:tc>
          <w:tcPr>
            <w:tcW w:w="12950" w:type="dxa"/>
            <w:shd w:val="clear" w:color="auto" w:fill="auto"/>
            <w:vAlign w:val="center"/>
          </w:tcPr>
          <w:p w14:paraId="2AB3B461" w14:textId="66928FA6" w:rsidR="0094198F" w:rsidRPr="0032374F" w:rsidRDefault="0094198F" w:rsidP="00A71034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420"/>
              </w:tabs>
              <w:spacing w:before="240" w:after="240" w:line="276" w:lineRule="auto"/>
              <w:ind w:left="420" w:hanging="450"/>
              <w:rPr>
                <w:rFonts w:asciiTheme="minorHAnsi" w:hAnsiTheme="minorHAnsi"/>
                <w:sz w:val="22"/>
                <w:szCs w:val="22"/>
                <w:lang w:val="es-PR"/>
              </w:rPr>
            </w:pPr>
            <w:r w:rsidRPr="0032374F">
              <w:rPr>
                <w:rFonts w:asciiTheme="minorHAnsi" w:hAnsiTheme="minorHAnsi"/>
                <w:sz w:val="22"/>
                <w:szCs w:val="22"/>
                <w:lang w:val="es-PR"/>
              </w:rPr>
              <w:t>Consideren crear un grupo o chat utilizando las redes sociales. Es importante tener reglas para regular el contenido de las conversaciones, ya que muchas personas tienden a obviar los mensajes si reciben demasiados o si el contenido no está relacionado con el propósito para el cual fue creado el grupo o chat.  Hay grupos comunitarios que incluyen en el chat algún enlace del gobierno municipal. En algunos municipios esto fue muy efectivo tras el paso del huracán María porque ayudó a crear una cadena de comunicación que permitió canalizar la ayuda inmediata a las comunidades. Por ejemplo, los/las líderes comunitarios/as identificaban las necesidades dentro de su comunidad y lo comunicaban al personal del municipio que estaba ubicado en el centro de operaciones de emergencias.</w:t>
            </w:r>
          </w:p>
        </w:tc>
      </w:tr>
      <w:bookmarkEnd w:id="0"/>
      <w:bookmarkEnd w:id="1"/>
    </w:tbl>
    <w:p w14:paraId="7EF5690C" w14:textId="77777777" w:rsidR="008B04AD" w:rsidRDefault="008B04AD" w:rsidP="00B839E5"/>
    <w:sectPr w:rsidR="008B04AD" w:rsidSect="00F474FB">
      <w:footerReference w:type="default" r:id="rId11"/>
      <w:pgSz w:w="15840" w:h="12240" w:orient="landscape"/>
      <w:pgMar w:top="7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8C46" w14:textId="77777777" w:rsidR="0080072E" w:rsidRDefault="0080072E" w:rsidP="00A54ECA">
      <w:pPr>
        <w:spacing w:after="0" w:line="240" w:lineRule="auto"/>
      </w:pPr>
      <w:r>
        <w:separator/>
      </w:r>
    </w:p>
  </w:endnote>
  <w:endnote w:type="continuationSeparator" w:id="0">
    <w:p w14:paraId="37666F7B" w14:textId="77777777" w:rsidR="0080072E" w:rsidRDefault="0080072E" w:rsidP="00A54ECA">
      <w:pPr>
        <w:spacing w:after="0" w:line="240" w:lineRule="auto"/>
      </w:pPr>
      <w:r>
        <w:continuationSeparator/>
      </w:r>
    </w:p>
  </w:endnote>
  <w:endnote w:type="continuationNotice" w:id="1">
    <w:p w14:paraId="0940C45B" w14:textId="77777777" w:rsidR="0080072E" w:rsidRDefault="00800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  <w:color w:val="FF0000"/>
      </w:rPr>
      <w:id w:val="18904624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" w:hAnsi="Arial Nova"/>
            <w:color w:val="FF0000"/>
          </w:rPr>
          <w:id w:val="48506213"/>
          <w:docPartObj>
            <w:docPartGallery w:val="Page Numbers (Top of Page)"/>
            <w:docPartUnique/>
          </w:docPartObj>
        </w:sdtPr>
        <w:sdtEndPr/>
        <w:sdtContent>
          <w:p w14:paraId="0D8AD71F" w14:textId="77777777" w:rsidR="00744494" w:rsidRDefault="00744494" w:rsidP="00744494">
            <w:pPr>
              <w:spacing w:after="0" w:line="240" w:lineRule="auto"/>
              <w:jc w:val="right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Página </w:t>
            </w:r>
            <w:r>
              <w:rPr>
                <w:rFonts w:ascii="Arial Nova" w:hAnsi="Arial Nova"/>
              </w:rPr>
              <w:fldChar w:fldCharType="begin"/>
            </w:r>
            <w:r>
              <w:rPr>
                <w:rFonts w:ascii="Arial Nova" w:hAnsi="Arial Nova"/>
              </w:rPr>
              <w:instrText xml:space="preserve"> PAGE </w:instrText>
            </w:r>
            <w:r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t>2</w:t>
            </w:r>
            <w:r>
              <w:rPr>
                <w:rFonts w:ascii="Arial Nova" w:hAnsi="Arial Nova"/>
              </w:rPr>
              <w:fldChar w:fldCharType="end"/>
            </w:r>
            <w:r>
              <w:rPr>
                <w:rFonts w:ascii="Arial Nova" w:hAnsi="Arial Nova"/>
              </w:rPr>
              <w:t xml:space="preserve"> de </w:t>
            </w:r>
            <w:r>
              <w:rPr>
                <w:rFonts w:ascii="Arial Nova" w:hAnsi="Arial Nova"/>
              </w:rPr>
              <w:fldChar w:fldCharType="begin"/>
            </w:r>
            <w:r>
              <w:rPr>
                <w:rFonts w:ascii="Arial Nova" w:hAnsi="Arial Nova"/>
              </w:rPr>
              <w:instrText xml:space="preserve"> NUMPAGES  </w:instrText>
            </w:r>
            <w:r>
              <w:rPr>
                <w:rFonts w:ascii="Arial Nova" w:hAnsi="Arial Nova"/>
              </w:rPr>
              <w:fldChar w:fldCharType="separate"/>
            </w:r>
            <w:r>
              <w:rPr>
                <w:rFonts w:ascii="Arial Nova" w:hAnsi="Arial Nova"/>
              </w:rPr>
              <w:t>2</w:t>
            </w:r>
            <w:r>
              <w:rPr>
                <w:rFonts w:ascii="Arial Nova" w:hAnsi="Arial Nova"/>
              </w:rPr>
              <w:fldChar w:fldCharType="end"/>
            </w:r>
          </w:p>
        </w:sdtContent>
      </w:sdt>
    </w:sdtContent>
  </w:sdt>
  <w:p w14:paraId="58798581" w14:textId="2CE26D1D" w:rsidR="001A71B6" w:rsidRPr="00D1620C" w:rsidRDefault="001A71B6" w:rsidP="00D1620C">
    <w:pPr>
      <w:spacing w:after="0" w:line="240" w:lineRule="auto"/>
      <w:jc w:val="right"/>
      <w:rPr>
        <w:rFonts w:ascii="Arial Nova" w:hAnsi="Arial Nova"/>
        <w:color w:val="2E2E2F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CF1C" w14:textId="77777777" w:rsidR="0080072E" w:rsidRDefault="0080072E" w:rsidP="00A54ECA">
      <w:pPr>
        <w:spacing w:after="0" w:line="240" w:lineRule="auto"/>
      </w:pPr>
      <w:r>
        <w:separator/>
      </w:r>
    </w:p>
  </w:footnote>
  <w:footnote w:type="continuationSeparator" w:id="0">
    <w:p w14:paraId="675E024A" w14:textId="77777777" w:rsidR="0080072E" w:rsidRDefault="0080072E" w:rsidP="00A54ECA">
      <w:pPr>
        <w:spacing w:after="0" w:line="240" w:lineRule="auto"/>
      </w:pPr>
      <w:r>
        <w:continuationSeparator/>
      </w:r>
    </w:p>
  </w:footnote>
  <w:footnote w:type="continuationNotice" w:id="1">
    <w:p w14:paraId="0FD280BA" w14:textId="77777777" w:rsidR="0080072E" w:rsidRDefault="008007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1409"/>
    <w:multiLevelType w:val="hybridMultilevel"/>
    <w:tmpl w:val="AEBE1ECE"/>
    <w:lvl w:ilvl="0" w:tplc="FC78394C">
      <w:start w:val="1"/>
      <w:numFmt w:val="bullet"/>
      <w:pStyle w:val="ListParagraph"/>
      <w:lvlText w:val="│"/>
      <w:lvlJc w:val="left"/>
      <w:pPr>
        <w:ind w:left="720" w:hanging="360"/>
      </w:pPr>
      <w:rPr>
        <w:rFonts w:ascii="Century Gothic" w:hAnsi="Century Gothic" w:hint="default"/>
        <w:color w:val="21687E"/>
        <w:sz w:val="16"/>
        <w:vertAlign w:val="superscrip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3692F"/>
    <w:multiLevelType w:val="hybridMultilevel"/>
    <w:tmpl w:val="0BDC6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95782"/>
    <w:multiLevelType w:val="hybridMultilevel"/>
    <w:tmpl w:val="D2B89812"/>
    <w:lvl w:ilvl="0" w:tplc="3824127C">
      <w:start w:val="1"/>
      <w:numFmt w:val="bullet"/>
      <w:lvlText w:val="■"/>
      <w:lvlJc w:val="left"/>
      <w:pPr>
        <w:ind w:left="720" w:hanging="360"/>
      </w:pPr>
      <w:rPr>
        <w:rFonts w:ascii="Century Gothic" w:hAnsi="Century Gothic" w:hint="default"/>
        <w:b/>
        <w:color w:val="00FFFA" w:themeColor="accent5"/>
        <w:sz w:val="16"/>
        <w:vertAlign w:val="superscrip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1845"/>
    <w:multiLevelType w:val="hybridMultilevel"/>
    <w:tmpl w:val="A6104A00"/>
    <w:lvl w:ilvl="0" w:tplc="3C3C42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525C51"/>
    <w:multiLevelType w:val="hybridMultilevel"/>
    <w:tmpl w:val="A0708460"/>
    <w:lvl w:ilvl="0" w:tplc="3032607E">
      <w:start w:val="1"/>
      <w:numFmt w:val="bullet"/>
      <w:lvlText w:val="■"/>
      <w:lvlJc w:val="left"/>
      <w:pPr>
        <w:ind w:left="1440" w:hanging="360"/>
      </w:pPr>
      <w:rPr>
        <w:rFonts w:ascii="Century Gothic" w:hAnsi="Century Gothic" w:hint="default"/>
        <w:color w:val="FFE700"/>
        <w:sz w:val="16"/>
        <w:vertAlign w:val="superscrip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892D98"/>
    <w:multiLevelType w:val="hybridMultilevel"/>
    <w:tmpl w:val="4F6E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94DD6"/>
    <w:multiLevelType w:val="hybridMultilevel"/>
    <w:tmpl w:val="AE9C0CC8"/>
    <w:lvl w:ilvl="0" w:tplc="3032607E">
      <w:start w:val="1"/>
      <w:numFmt w:val="bullet"/>
      <w:lvlText w:val="■"/>
      <w:lvlJc w:val="left"/>
      <w:pPr>
        <w:ind w:left="720" w:hanging="360"/>
      </w:pPr>
      <w:rPr>
        <w:rFonts w:ascii="Century Gothic" w:hAnsi="Century Gothic" w:hint="default"/>
        <w:color w:val="FFE700"/>
        <w:sz w:val="16"/>
        <w:vertAlign w:val="superscrip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B2685"/>
    <w:multiLevelType w:val="hybridMultilevel"/>
    <w:tmpl w:val="21F6268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C6E19"/>
    <w:multiLevelType w:val="hybridMultilevel"/>
    <w:tmpl w:val="9F04D0EA"/>
    <w:lvl w:ilvl="0" w:tplc="BD725C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950AD"/>
    <w:multiLevelType w:val="hybridMultilevel"/>
    <w:tmpl w:val="9B56BC86"/>
    <w:lvl w:ilvl="0" w:tplc="2B2A4182">
      <w:start w:val="1"/>
      <w:numFmt w:val="bullet"/>
      <w:pStyle w:val="Heading4"/>
      <w:lvlText w:val="█"/>
      <w:lvlJc w:val="left"/>
      <w:pPr>
        <w:ind w:left="720" w:hanging="360"/>
      </w:pPr>
      <w:rPr>
        <w:rFonts w:ascii="Century Gothic" w:hAnsi="Century Gothic" w:hint="default"/>
        <w:color w:val="5CE17D" w:themeColor="accent6"/>
        <w:sz w:val="16"/>
        <w:vertAlign w:val="superscrip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76F45"/>
    <w:multiLevelType w:val="hybridMultilevel"/>
    <w:tmpl w:val="0AF6F56E"/>
    <w:lvl w:ilvl="0" w:tplc="356E4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0B3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02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CA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DA2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F45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E2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08E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63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28E1B04"/>
    <w:multiLevelType w:val="hybridMultilevel"/>
    <w:tmpl w:val="26340FD0"/>
    <w:lvl w:ilvl="0" w:tplc="F9246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DF5FE1"/>
    <w:multiLevelType w:val="hybridMultilevel"/>
    <w:tmpl w:val="11287FF0"/>
    <w:lvl w:ilvl="0" w:tplc="BCD6E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27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C76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A6C3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C7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52A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88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C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48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13836D2"/>
    <w:multiLevelType w:val="hybridMultilevel"/>
    <w:tmpl w:val="B0564918"/>
    <w:lvl w:ilvl="0" w:tplc="B66AA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A1B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9CB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40D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87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F00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C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A0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67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5285CC3"/>
    <w:multiLevelType w:val="hybridMultilevel"/>
    <w:tmpl w:val="75CCA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E8426D"/>
    <w:multiLevelType w:val="hybridMultilevel"/>
    <w:tmpl w:val="21F6268C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1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DD"/>
    <w:rsid w:val="00012B6C"/>
    <w:rsid w:val="0001430E"/>
    <w:rsid w:val="000407F8"/>
    <w:rsid w:val="000E3FD1"/>
    <w:rsid w:val="000F4C13"/>
    <w:rsid w:val="00121D82"/>
    <w:rsid w:val="00122701"/>
    <w:rsid w:val="00151010"/>
    <w:rsid w:val="001747DD"/>
    <w:rsid w:val="001909DC"/>
    <w:rsid w:val="00197729"/>
    <w:rsid w:val="001A71B6"/>
    <w:rsid w:val="001C7E3E"/>
    <w:rsid w:val="00200C12"/>
    <w:rsid w:val="00202FFF"/>
    <w:rsid w:val="00283B62"/>
    <w:rsid w:val="00297AE0"/>
    <w:rsid w:val="002B44AF"/>
    <w:rsid w:val="003020DF"/>
    <w:rsid w:val="003157B2"/>
    <w:rsid w:val="0032374F"/>
    <w:rsid w:val="0037241D"/>
    <w:rsid w:val="003E1BA3"/>
    <w:rsid w:val="004077A9"/>
    <w:rsid w:val="004867AD"/>
    <w:rsid w:val="004A62B5"/>
    <w:rsid w:val="004C76B8"/>
    <w:rsid w:val="004F1545"/>
    <w:rsid w:val="005A78B3"/>
    <w:rsid w:val="005E78FC"/>
    <w:rsid w:val="00646865"/>
    <w:rsid w:val="0067168C"/>
    <w:rsid w:val="006751F8"/>
    <w:rsid w:val="00680BCC"/>
    <w:rsid w:val="00693888"/>
    <w:rsid w:val="00703FD8"/>
    <w:rsid w:val="00712089"/>
    <w:rsid w:val="00744494"/>
    <w:rsid w:val="0077499A"/>
    <w:rsid w:val="007C353B"/>
    <w:rsid w:val="007D5975"/>
    <w:rsid w:val="0080072E"/>
    <w:rsid w:val="0084039D"/>
    <w:rsid w:val="00847FC1"/>
    <w:rsid w:val="00861A1A"/>
    <w:rsid w:val="00870BC9"/>
    <w:rsid w:val="00897481"/>
    <w:rsid w:val="008B04AD"/>
    <w:rsid w:val="008C34DE"/>
    <w:rsid w:val="009316CC"/>
    <w:rsid w:val="0093365C"/>
    <w:rsid w:val="009360DA"/>
    <w:rsid w:val="009400F0"/>
    <w:rsid w:val="0094198F"/>
    <w:rsid w:val="00961733"/>
    <w:rsid w:val="009C4CB2"/>
    <w:rsid w:val="009F5C89"/>
    <w:rsid w:val="00A026F6"/>
    <w:rsid w:val="00A10B01"/>
    <w:rsid w:val="00A50A4C"/>
    <w:rsid w:val="00A54ECA"/>
    <w:rsid w:val="00A611E0"/>
    <w:rsid w:val="00A71034"/>
    <w:rsid w:val="00AC6E8F"/>
    <w:rsid w:val="00B0365D"/>
    <w:rsid w:val="00B518ED"/>
    <w:rsid w:val="00B839E5"/>
    <w:rsid w:val="00BF0BB9"/>
    <w:rsid w:val="00C0011A"/>
    <w:rsid w:val="00C03C19"/>
    <w:rsid w:val="00C719B7"/>
    <w:rsid w:val="00C93A96"/>
    <w:rsid w:val="00CD486F"/>
    <w:rsid w:val="00D1620C"/>
    <w:rsid w:val="00D458A0"/>
    <w:rsid w:val="00D518D9"/>
    <w:rsid w:val="00D72D69"/>
    <w:rsid w:val="00DA2EC2"/>
    <w:rsid w:val="00DA35F0"/>
    <w:rsid w:val="00DD6BBE"/>
    <w:rsid w:val="00E81CBD"/>
    <w:rsid w:val="00EB3155"/>
    <w:rsid w:val="00F46E7D"/>
    <w:rsid w:val="00F474FB"/>
    <w:rsid w:val="00F664A1"/>
    <w:rsid w:val="00F7608C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29D14"/>
  <w15:chartTrackingRefBased/>
  <w15:docId w15:val="{A2C3704D-CE8F-4A9D-9769-DDC6067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7DD"/>
    <w:pPr>
      <w:spacing w:line="300" w:lineRule="auto"/>
      <w:jc w:val="both"/>
    </w:pPr>
    <w:rPr>
      <w:rFonts w:ascii="Century Gothic" w:eastAsiaTheme="minorEastAsia" w:hAnsi="Century Gothic"/>
      <w:szCs w:val="17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A54ECA"/>
    <w:pPr>
      <w:spacing w:line="240" w:lineRule="auto"/>
      <w:ind w:left="-900"/>
      <w:outlineLvl w:val="1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1A1A"/>
    <w:pPr>
      <w:keepNext/>
      <w:keepLines/>
      <w:numPr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7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aliases w:val="Fajardo"/>
    <w:basedOn w:val="TableNormal"/>
    <w:uiPriority w:val="42"/>
    <w:rsid w:val="00EB3155"/>
    <w:pPr>
      <w:spacing w:after="0" w:line="240" w:lineRule="auto"/>
    </w:pPr>
    <w:rPr>
      <w:rFonts w:ascii="Century Gothic" w:hAnsi="Century Gothic"/>
      <w:sz w:val="18"/>
    </w:rPr>
    <w:tblPr>
      <w:tblStyleRowBandSize w:val="1"/>
      <w:tblStyleColBandSize w:val="1"/>
      <w:tblBorders>
        <w:top w:val="single" w:sz="4" w:space="0" w:color="959597" w:themeColor="text1" w:themeTint="80"/>
        <w:bottom w:val="single" w:sz="4" w:space="0" w:color="959597" w:themeColor="text1" w:themeTint="80"/>
      </w:tblBorders>
    </w:tblPr>
    <w:tblStylePr w:type="firstRow">
      <w:rPr>
        <w:b/>
        <w:bCs/>
        <w:color w:val="0035FF" w:themeColor="accent1"/>
      </w:rPr>
      <w:tblPr/>
      <w:tcPr>
        <w:tcBorders>
          <w:bottom w:val="single" w:sz="4" w:space="0" w:color="95959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5959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59597" w:themeColor="text1" w:themeTint="80"/>
          <w:right w:val="single" w:sz="4" w:space="0" w:color="959597" w:themeColor="text1" w:themeTint="80"/>
        </w:tcBorders>
      </w:tcPr>
    </w:tblStylePr>
    <w:tblStylePr w:type="band2Vert">
      <w:tblPr/>
      <w:tcPr>
        <w:tcBorders>
          <w:left w:val="single" w:sz="4" w:space="0" w:color="959597" w:themeColor="text1" w:themeTint="80"/>
          <w:right w:val="single" w:sz="4" w:space="0" w:color="959597" w:themeColor="text1" w:themeTint="80"/>
        </w:tcBorders>
      </w:tcPr>
    </w:tblStylePr>
    <w:tblStylePr w:type="band1Horz">
      <w:tblPr/>
      <w:tcPr>
        <w:tcBorders>
          <w:top w:val="single" w:sz="4" w:space="0" w:color="959597" w:themeColor="text1" w:themeTint="80"/>
          <w:bottom w:val="single" w:sz="4" w:space="0" w:color="959597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747DD"/>
    <w:rPr>
      <w:color w:val="E1A1FB" w:themeColor="text2" w:themeTint="99"/>
      <w:u w:val="single"/>
    </w:rPr>
  </w:style>
  <w:style w:type="paragraph" w:styleId="ListParagraph">
    <w:name w:val="List Paragraph"/>
    <w:basedOn w:val="Normal"/>
    <w:uiPriority w:val="34"/>
    <w:qFormat/>
    <w:rsid w:val="001747DD"/>
    <w:pPr>
      <w:numPr>
        <w:numId w:val="1"/>
      </w:numPr>
      <w:contextualSpacing/>
    </w:pPr>
  </w:style>
  <w:style w:type="table" w:styleId="TableGridLight">
    <w:name w:val="Grid Table Light"/>
    <w:basedOn w:val="TableNormal"/>
    <w:uiPriority w:val="40"/>
    <w:rsid w:val="001747DD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DD"/>
    <w:rPr>
      <w:rFonts w:ascii="Segoe UI" w:eastAsiaTheme="minorEastAsia" w:hAnsi="Segoe UI" w:cs="Segoe UI"/>
      <w:sz w:val="18"/>
      <w:szCs w:val="1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A54ECA"/>
    <w:pPr>
      <w:spacing w:line="240" w:lineRule="auto"/>
      <w:jc w:val="center"/>
    </w:pPr>
    <w:rPr>
      <w:b/>
      <w:bCs/>
      <w:color w:val="767678" w:themeColor="text1" w:themeTint="A6"/>
      <w:spacing w:val="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4E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paragraph" w:styleId="Header">
    <w:name w:val="header"/>
    <w:basedOn w:val="Normal"/>
    <w:link w:val="HeaderChar"/>
    <w:uiPriority w:val="99"/>
    <w:unhideWhenUsed/>
    <w:rsid w:val="00A5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CA"/>
    <w:rPr>
      <w:rFonts w:ascii="Century Gothic" w:eastAsiaTheme="minorEastAsia" w:hAnsi="Century Gothic"/>
      <w:szCs w:val="17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CA"/>
    <w:rPr>
      <w:rFonts w:ascii="Century Gothic" w:eastAsiaTheme="minorEastAsia" w:hAnsi="Century Gothic"/>
      <w:szCs w:val="17"/>
      <w:lang w:eastAsia="ja-JP"/>
    </w:rPr>
  </w:style>
  <w:style w:type="character" w:customStyle="1" w:styleId="Heading2Char">
    <w:name w:val="Heading 2 Char"/>
    <w:basedOn w:val="DefaultParagraphFont"/>
    <w:link w:val="Heading2"/>
    <w:rsid w:val="00A54ECA"/>
    <w:rPr>
      <w:rFonts w:ascii="Century Gothic" w:eastAsiaTheme="minorEastAsia" w:hAnsi="Century Gothic"/>
      <w:b/>
      <w:sz w:val="32"/>
      <w:szCs w:val="32"/>
      <w:lang w:eastAsia="ja-JP"/>
    </w:rPr>
  </w:style>
  <w:style w:type="table" w:styleId="TableGrid">
    <w:name w:val="Table Grid"/>
    <w:basedOn w:val="TableNormal"/>
    <w:uiPriority w:val="39"/>
    <w:rsid w:val="0077499A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61A1A"/>
    <w:rPr>
      <w:rFonts w:asciiTheme="majorHAnsi" w:eastAsiaTheme="majorEastAsia" w:hAnsiTheme="majorHAnsi" w:cstheme="majorBidi"/>
      <w:i/>
      <w:iCs/>
      <w:color w:val="0027BF" w:themeColor="accent1" w:themeShade="BF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oad to resilience">
      <a:dk1>
        <a:srgbClr val="2E2E2F"/>
      </a:dk1>
      <a:lt1>
        <a:sysClr val="window" lastClr="FFFFFF"/>
      </a:lt1>
      <a:dk2>
        <a:srgbClr val="CE64F9"/>
      </a:dk2>
      <a:lt2>
        <a:srgbClr val="FF3A00"/>
      </a:lt2>
      <a:accent1>
        <a:srgbClr val="0035FF"/>
      </a:accent1>
      <a:accent2>
        <a:srgbClr val="EB008B"/>
      </a:accent2>
      <a:accent3>
        <a:srgbClr val="FFBD00"/>
      </a:accent3>
      <a:accent4>
        <a:srgbClr val="19B5FE"/>
      </a:accent4>
      <a:accent5>
        <a:srgbClr val="00FFFA"/>
      </a:accent5>
      <a:accent6>
        <a:srgbClr val="5CE17D"/>
      </a:accent6>
      <a:hlink>
        <a:srgbClr val="58C1BA"/>
      </a:hlink>
      <a:folHlink>
        <a:srgbClr val="9DFFCB"/>
      </a:folHlink>
    </a:clrScheme>
    <a:fontScheme name="Custom 6">
      <a:majorFont>
        <a:latin typeface="Arial Nova Cond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ADFC91EC765438352975F0D2498AF" ma:contentTypeVersion="11" ma:contentTypeDescription="Create a new document." ma:contentTypeScope="" ma:versionID="15c78079d82f3e8fc658d56da49e1d3b">
  <xsd:schema xmlns:xsd="http://www.w3.org/2001/XMLSchema" xmlns:xs="http://www.w3.org/2001/XMLSchema" xmlns:p="http://schemas.microsoft.com/office/2006/metadata/properties" xmlns:ns2="2c8166cd-a786-488c-819e-02dc5c67e18c" xmlns:ns3="77129fba-f615-4ea6-98bb-b192c6dc40d1" targetNamespace="http://schemas.microsoft.com/office/2006/metadata/properties" ma:root="true" ma:fieldsID="8099ac36521fe902c8152d081bb295aa" ns2:_="" ns3:_="">
    <xsd:import namespace="2c8166cd-a786-488c-819e-02dc5c67e18c"/>
    <xsd:import namespace="77129fba-f615-4ea6-98bb-b192c6dc40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166cd-a786-488c-819e-02dc5c67e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9fba-f615-4ea6-98bb-b192c6dc40d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0BD88-2BDC-4DE3-801F-8FDD74955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E3CBE-BE9C-4725-855F-6339E0D172B7}">
  <ds:schemaRefs>
    <ds:schemaRef ds:uri="77129fba-f615-4ea6-98bb-b192c6dc40d1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2c8166cd-a786-488c-819e-02dc5c67e18c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4EA746E-6E89-498C-9AB2-36DAEF65C5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4EB70C-8AA9-442D-88DA-59D0FC69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166cd-a786-488c-819e-02dc5c67e18c"/>
    <ds:schemaRef ds:uri="77129fba-f615-4ea6-98bb-b192c6dc4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Crespo</dc:creator>
  <cp:keywords/>
  <dc:description/>
  <cp:lastModifiedBy>Alisa Ortiz Colon</cp:lastModifiedBy>
  <cp:revision>12</cp:revision>
  <dcterms:created xsi:type="dcterms:W3CDTF">2021-03-26T16:53:00Z</dcterms:created>
  <dcterms:modified xsi:type="dcterms:W3CDTF">2021-06-16T17:10:00Z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0x010100270ADFC91EC765438352975F0D2498AF</vt:lpwstr>
  </property>
</Properties>
</file>